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2F572" w14:textId="77777777" w:rsidR="0056108F" w:rsidRPr="00771C9B" w:rsidRDefault="0056108F">
      <w:pPr>
        <w:rPr>
          <w:rFonts w:ascii="Times New Roman" w:hAnsi="Times New Roman" w:cs="Times New Roman"/>
          <w:sz w:val="20"/>
          <w:szCs w:val="20"/>
        </w:rPr>
      </w:pPr>
    </w:p>
    <w:p w14:paraId="58FEEA8F" w14:textId="4027F5B8" w:rsidR="0056108F" w:rsidRPr="00771C9B" w:rsidRDefault="003F294A" w:rsidP="000867D6">
      <w:pPr>
        <w:jc w:val="both"/>
        <w:rPr>
          <w:rFonts w:ascii="Times New Roman" w:hAnsi="Times New Roman" w:cs="Times New Roman"/>
          <w:sz w:val="20"/>
          <w:szCs w:val="20"/>
        </w:rPr>
      </w:pPr>
      <w:r w:rsidRPr="00771C9B">
        <w:rPr>
          <w:rFonts w:ascii="Times New Roman" w:hAnsi="Times New Roman" w:cs="Times New Roman"/>
          <w:sz w:val="20"/>
          <w:szCs w:val="20"/>
        </w:rPr>
        <w:t xml:space="preserve">Table 1: </w:t>
      </w:r>
      <w:r w:rsidR="00B34CF3" w:rsidRPr="00771C9B">
        <w:rPr>
          <w:rFonts w:ascii="Times New Roman" w:hAnsi="Times New Roman" w:cs="Times New Roman"/>
          <w:sz w:val="20"/>
          <w:szCs w:val="20"/>
        </w:rPr>
        <w:t>P</w:t>
      </w:r>
      <w:r w:rsidRPr="00771C9B">
        <w:rPr>
          <w:rFonts w:ascii="Times New Roman" w:hAnsi="Times New Roman" w:cs="Times New Roman"/>
          <w:sz w:val="20"/>
          <w:szCs w:val="20"/>
        </w:rPr>
        <w:t>opulation dynamics</w:t>
      </w:r>
      <w:r w:rsidR="006B181B" w:rsidRPr="00771C9B">
        <w:rPr>
          <w:rFonts w:ascii="Times New Roman" w:hAnsi="Times New Roman" w:cs="Times New Roman"/>
          <w:sz w:val="20"/>
          <w:szCs w:val="20"/>
        </w:rPr>
        <w:t xml:space="preserve"> </w:t>
      </w:r>
      <w:r w:rsidRPr="00771C9B">
        <w:rPr>
          <w:rFonts w:ascii="Times New Roman" w:hAnsi="Times New Roman" w:cs="Times New Roman"/>
          <w:sz w:val="20"/>
          <w:szCs w:val="20"/>
        </w:rPr>
        <w:t>(</w:t>
      </w:r>
      <w:r w:rsidR="006B181B" w:rsidRPr="00771C9B">
        <w:rPr>
          <w:rFonts w:ascii="Times New Roman" w:hAnsi="Times New Roman" w:cs="Times New Roman"/>
          <w:sz w:val="20"/>
          <w:szCs w:val="20"/>
        </w:rPr>
        <w:t>CFU</w:t>
      </w:r>
      <w:r w:rsidRPr="00771C9B">
        <w:rPr>
          <w:rFonts w:ascii="Times New Roman" w:hAnsi="Times New Roman" w:cs="Times New Roman"/>
          <w:sz w:val="20"/>
          <w:szCs w:val="20"/>
        </w:rPr>
        <w:t>±</w:t>
      </w:r>
      <w:r w:rsidR="000867D6" w:rsidRPr="00771C9B">
        <w:rPr>
          <w:rFonts w:ascii="Times New Roman" w:hAnsi="Times New Roman" w:cs="Times New Roman"/>
          <w:sz w:val="20"/>
          <w:szCs w:val="20"/>
        </w:rPr>
        <w:t xml:space="preserve"> SE) g</w:t>
      </w:r>
      <w:r w:rsidR="000867D6" w:rsidRPr="00771C9B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0867D6" w:rsidRPr="00771C9B">
        <w:rPr>
          <w:rFonts w:ascii="Times New Roman" w:hAnsi="Times New Roman" w:cs="Times New Roman"/>
          <w:sz w:val="20"/>
          <w:szCs w:val="20"/>
        </w:rPr>
        <w:t>× 10</w:t>
      </w:r>
      <w:r w:rsidR="000867D6" w:rsidRPr="00771C9B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6B181B" w:rsidRPr="00771C9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771C9B">
        <w:rPr>
          <w:rFonts w:ascii="Times New Roman" w:hAnsi="Times New Roman" w:cs="Times New Roman"/>
          <w:sz w:val="20"/>
          <w:szCs w:val="20"/>
        </w:rPr>
        <w:t>dry soil of different groups of bacteria of maize field under organic and chemical treatments at 30 Days After Sowing</w:t>
      </w:r>
      <w:r w:rsidR="005279D0" w:rsidRPr="00771C9B">
        <w:rPr>
          <w:rFonts w:ascii="Times New Roman" w:hAnsi="Times New Roman" w:cs="Times New Roman"/>
          <w:sz w:val="20"/>
          <w:szCs w:val="20"/>
        </w:rPr>
        <w:t xml:space="preserve"> </w:t>
      </w:r>
      <w:r w:rsidRPr="00771C9B">
        <w:rPr>
          <w:rFonts w:ascii="Times New Roman" w:hAnsi="Times New Roman" w:cs="Times New Roman"/>
          <w:sz w:val="20"/>
          <w:szCs w:val="20"/>
        </w:rPr>
        <w:t>(DAS)</w:t>
      </w:r>
      <w:r w:rsidR="006C18ED" w:rsidRPr="00771C9B">
        <w:rPr>
          <w:rFonts w:ascii="Times New Roman" w:hAnsi="Times New Roman" w:cs="Times New Roman"/>
          <w:sz w:val="20"/>
          <w:szCs w:val="20"/>
        </w:rPr>
        <w:t>, V6 stage</w:t>
      </w:r>
      <w:r w:rsidRPr="00771C9B">
        <w:rPr>
          <w:rFonts w:ascii="Times New Roman" w:hAnsi="Times New Roman" w:cs="Times New Roman"/>
          <w:sz w:val="20"/>
          <w:szCs w:val="20"/>
        </w:rPr>
        <w:t xml:space="preserve"> and 90 DAS</w:t>
      </w:r>
      <w:r w:rsidR="006C18ED" w:rsidRPr="00771C9B">
        <w:rPr>
          <w:rFonts w:ascii="Times New Roman" w:hAnsi="Times New Roman" w:cs="Times New Roman"/>
          <w:sz w:val="20"/>
          <w:szCs w:val="20"/>
        </w:rPr>
        <w:t>, R6 stage</w:t>
      </w:r>
      <w:r w:rsidRPr="00771C9B">
        <w:rPr>
          <w:rFonts w:ascii="Times New Roman" w:hAnsi="Times New Roman" w:cs="Times New Roman"/>
          <w:sz w:val="20"/>
          <w:szCs w:val="20"/>
        </w:rPr>
        <w:t>.</w:t>
      </w:r>
      <w:r w:rsidR="003C741E" w:rsidRPr="00771C9B">
        <w:rPr>
          <w:rFonts w:ascii="Times New Roman" w:hAnsi="Times New Roman" w:cs="Times New Roman"/>
          <w:sz w:val="20"/>
          <w:szCs w:val="20"/>
        </w:rPr>
        <w:t xml:space="preserve"> </w:t>
      </w:r>
      <w:r w:rsidR="004A0071" w:rsidRPr="00771C9B">
        <w:rPr>
          <w:rFonts w:ascii="Times New Roman" w:hAnsi="Times New Roman" w:cs="Times New Roman"/>
          <w:sz w:val="20"/>
          <w:szCs w:val="20"/>
        </w:rPr>
        <w:t>The b</w:t>
      </w:r>
      <w:r w:rsidR="003C741E" w:rsidRPr="00771C9B">
        <w:rPr>
          <w:rFonts w:ascii="Times New Roman" w:hAnsi="Times New Roman" w:cs="Times New Roman"/>
          <w:sz w:val="20"/>
          <w:szCs w:val="20"/>
        </w:rPr>
        <w:t xml:space="preserve">olded </w:t>
      </w:r>
      <w:r w:rsidR="004A0071" w:rsidRPr="00771C9B">
        <w:rPr>
          <w:rFonts w:ascii="Times New Roman" w:hAnsi="Times New Roman" w:cs="Times New Roman"/>
          <w:sz w:val="20"/>
          <w:szCs w:val="20"/>
        </w:rPr>
        <w:t>f</w:t>
      </w:r>
      <w:r w:rsidR="003C741E" w:rsidRPr="00771C9B">
        <w:rPr>
          <w:rFonts w:ascii="Times New Roman" w:hAnsi="Times New Roman" w:cs="Times New Roman"/>
          <w:sz w:val="20"/>
          <w:szCs w:val="20"/>
        </w:rPr>
        <w:t>igures</w:t>
      </w:r>
      <w:r w:rsidR="004A0071" w:rsidRPr="00771C9B">
        <w:rPr>
          <w:rFonts w:ascii="Times New Roman" w:hAnsi="Times New Roman" w:cs="Times New Roman"/>
          <w:sz w:val="20"/>
          <w:szCs w:val="20"/>
        </w:rPr>
        <w:t xml:space="preserve"> represent significant increase in population of the specific group of rhizosphere bacteria.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1217"/>
        <w:gridCol w:w="1327"/>
        <w:gridCol w:w="1217"/>
        <w:gridCol w:w="1327"/>
        <w:gridCol w:w="1327"/>
        <w:gridCol w:w="1217"/>
      </w:tblGrid>
      <w:tr w:rsidR="000867D6" w:rsidRPr="00771C9B" w14:paraId="1884D8F9" w14:textId="77777777" w:rsidTr="000640FC"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14:paraId="4679601E" w14:textId="77777777" w:rsidR="0056108F" w:rsidRPr="00771C9B" w:rsidRDefault="0056108F" w:rsidP="00086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Group of bacteria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3584" w14:textId="2A47513F" w:rsidR="0056108F" w:rsidRPr="00771C9B" w:rsidRDefault="0056108F" w:rsidP="000867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30 DAS</w:t>
            </w:r>
            <w:r w:rsidR="000A0B38"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(V6 stage)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36E1E5" w14:textId="261FC4AC" w:rsidR="0056108F" w:rsidRPr="00771C9B" w:rsidRDefault="0056108F" w:rsidP="000867D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90 DAS</w:t>
            </w:r>
            <w:r w:rsidR="005279D0"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(R6 </w:t>
            </w:r>
            <w:r w:rsidR="000A0B38"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stage</w:t>
            </w:r>
            <w:r w:rsidR="005279D0"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867D6" w:rsidRPr="00771C9B" w14:paraId="7F3F0417" w14:textId="77777777" w:rsidTr="000640FC">
        <w:tc>
          <w:tcPr>
            <w:tcW w:w="1610" w:type="dxa"/>
            <w:tcBorders>
              <w:top w:val="single" w:sz="4" w:space="0" w:color="auto"/>
            </w:tcBorders>
          </w:tcPr>
          <w:p w14:paraId="3B848693" w14:textId="77777777" w:rsidR="000867D6" w:rsidRPr="00771C9B" w:rsidRDefault="000867D6" w:rsidP="000867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662B7F21" w14:textId="77777777" w:rsidR="000867D6" w:rsidRPr="00771C9B" w:rsidRDefault="000867D6" w:rsidP="000867D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Control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2DB90B00" w14:textId="77777777" w:rsidR="000867D6" w:rsidRPr="00771C9B" w:rsidRDefault="000867D6" w:rsidP="000867D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Organic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2EE7DC10" w14:textId="77777777" w:rsidR="000867D6" w:rsidRPr="00771C9B" w:rsidRDefault="000867D6" w:rsidP="000867D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Chemical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0FF21C38" w14:textId="77777777" w:rsidR="000867D6" w:rsidRPr="00771C9B" w:rsidRDefault="000867D6" w:rsidP="000867D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Control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14:paraId="563151FB" w14:textId="77777777" w:rsidR="000867D6" w:rsidRPr="00771C9B" w:rsidRDefault="000867D6" w:rsidP="000867D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Organic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3D22E885" w14:textId="77777777" w:rsidR="000867D6" w:rsidRPr="00771C9B" w:rsidRDefault="000867D6" w:rsidP="000867D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Chemical</w:t>
            </w:r>
          </w:p>
        </w:tc>
      </w:tr>
      <w:tr w:rsidR="000867D6" w:rsidRPr="00771C9B" w14:paraId="2E712FFA" w14:textId="77777777" w:rsidTr="000640FC">
        <w:tc>
          <w:tcPr>
            <w:tcW w:w="1610" w:type="dxa"/>
          </w:tcPr>
          <w:p w14:paraId="2F8CD507" w14:textId="77777777" w:rsidR="0056108F" w:rsidRPr="00771C9B" w:rsidRDefault="0056108F" w:rsidP="00086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Heterotrophic bacteria</w:t>
            </w:r>
          </w:p>
        </w:tc>
        <w:tc>
          <w:tcPr>
            <w:tcW w:w="1217" w:type="dxa"/>
          </w:tcPr>
          <w:p w14:paraId="48D52BF5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37.25±2.75</w:t>
            </w:r>
          </w:p>
          <w:p w14:paraId="35043B9C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E6F8ED5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58.88±12.00</w:t>
            </w:r>
          </w:p>
          <w:p w14:paraId="18C7864E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9781ACE" w14:textId="77777777" w:rsidR="00931C9D" w:rsidRPr="00771C9B" w:rsidRDefault="00931C9D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71.5±4.77</w:t>
            </w:r>
          </w:p>
          <w:p w14:paraId="4FA91AB7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572BC11" w14:textId="77777777" w:rsidR="0056108F" w:rsidRPr="00771C9B" w:rsidRDefault="005D7A1C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56108F"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0.2±7.07</w:t>
            </w:r>
          </w:p>
          <w:p w14:paraId="3DA5ACFF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7EA7DCB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57.5±9.52</w:t>
            </w:r>
          </w:p>
          <w:p w14:paraId="19E88F58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9CFD819" w14:textId="77777777" w:rsidR="00931C9D" w:rsidRPr="00771C9B" w:rsidRDefault="00931C9D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33.17±8.13</w:t>
            </w:r>
          </w:p>
          <w:p w14:paraId="05A1E23F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D6" w:rsidRPr="00771C9B" w14:paraId="733428B5" w14:textId="77777777" w:rsidTr="000640FC">
        <w:tc>
          <w:tcPr>
            <w:tcW w:w="1610" w:type="dxa"/>
          </w:tcPr>
          <w:p w14:paraId="474A604A" w14:textId="77777777" w:rsidR="0056108F" w:rsidRPr="00771C9B" w:rsidRDefault="0056108F" w:rsidP="00086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Phosphate solubilising bacteria</w:t>
            </w:r>
          </w:p>
        </w:tc>
        <w:tc>
          <w:tcPr>
            <w:tcW w:w="1217" w:type="dxa"/>
          </w:tcPr>
          <w:p w14:paraId="0B5CC1E4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17.75±1.66</w:t>
            </w:r>
          </w:p>
          <w:p w14:paraId="0086F47D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45E1CC7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18.33±3.63</w:t>
            </w:r>
          </w:p>
          <w:p w14:paraId="3982CF11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A4E9D22" w14:textId="77777777" w:rsidR="00931C9D" w:rsidRPr="00771C9B" w:rsidRDefault="00931C9D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29±1.89</w:t>
            </w:r>
          </w:p>
          <w:p w14:paraId="64EF1903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39F6500" w14:textId="77777777" w:rsidR="0056108F" w:rsidRPr="00771C9B" w:rsidRDefault="005D7A1C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108F"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2.625±6.21</w:t>
            </w:r>
          </w:p>
          <w:p w14:paraId="54F293D4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91E1C41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49.67±4.91</w:t>
            </w:r>
          </w:p>
          <w:p w14:paraId="132EED91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0A5C8236" w14:textId="77777777" w:rsidR="00931C9D" w:rsidRPr="00771C9B" w:rsidRDefault="00931C9D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39±3.75</w:t>
            </w:r>
          </w:p>
          <w:p w14:paraId="19FBFD61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D6" w:rsidRPr="00771C9B" w14:paraId="179FAB54" w14:textId="77777777" w:rsidTr="000640FC">
        <w:tc>
          <w:tcPr>
            <w:tcW w:w="1610" w:type="dxa"/>
          </w:tcPr>
          <w:p w14:paraId="330AA9FB" w14:textId="77777777" w:rsidR="0056108F" w:rsidRPr="00771C9B" w:rsidRDefault="0056108F" w:rsidP="00086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Nitrate reducing bacteria</w:t>
            </w:r>
          </w:p>
        </w:tc>
        <w:tc>
          <w:tcPr>
            <w:tcW w:w="1217" w:type="dxa"/>
          </w:tcPr>
          <w:p w14:paraId="3B27D056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54.83±1.45</w:t>
            </w:r>
          </w:p>
          <w:p w14:paraId="01703808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492234A4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63.38±6.47</w:t>
            </w:r>
          </w:p>
          <w:p w14:paraId="404A5816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F22277E" w14:textId="77777777" w:rsidR="00931C9D" w:rsidRPr="00771C9B" w:rsidRDefault="00931C9D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54.17±4.19</w:t>
            </w:r>
          </w:p>
          <w:p w14:paraId="5C52155E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540A9615" w14:textId="77777777" w:rsidR="0056108F" w:rsidRPr="00771C9B" w:rsidRDefault="005D7A1C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56108F"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8.33±8.67</w:t>
            </w:r>
          </w:p>
          <w:p w14:paraId="352C82CA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7A24D16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90.63±10.82</w:t>
            </w:r>
          </w:p>
          <w:p w14:paraId="78740654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1623AD58" w14:textId="77777777" w:rsidR="00931C9D" w:rsidRPr="00771C9B" w:rsidRDefault="00931C9D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63±10.07</w:t>
            </w:r>
          </w:p>
          <w:p w14:paraId="71BDC0F0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D6" w:rsidRPr="00771C9B" w14:paraId="154EB7D1" w14:textId="77777777" w:rsidTr="000640FC">
        <w:tc>
          <w:tcPr>
            <w:tcW w:w="1610" w:type="dxa"/>
          </w:tcPr>
          <w:p w14:paraId="637C7DF8" w14:textId="77777777" w:rsidR="0056108F" w:rsidRPr="00771C9B" w:rsidRDefault="0056108F" w:rsidP="00086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Nitrifying bacteria</w:t>
            </w:r>
          </w:p>
        </w:tc>
        <w:tc>
          <w:tcPr>
            <w:tcW w:w="1217" w:type="dxa"/>
          </w:tcPr>
          <w:p w14:paraId="39F985BC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23.33±8.82</w:t>
            </w:r>
          </w:p>
          <w:p w14:paraId="348C53B1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6737157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27.83±6.93</w:t>
            </w:r>
          </w:p>
          <w:p w14:paraId="15CFC763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5F20DDF4" w14:textId="77777777" w:rsidR="00931C9D" w:rsidRPr="00771C9B" w:rsidRDefault="00931C9D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20.83±6.07</w:t>
            </w:r>
          </w:p>
          <w:p w14:paraId="0AEFD44D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DB04EB6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3.33±1.92</w:t>
            </w:r>
          </w:p>
          <w:p w14:paraId="5FC8738F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8060DD1" w14:textId="77777777" w:rsidR="001E2D3B" w:rsidRPr="00771C9B" w:rsidRDefault="005D7A1C" w:rsidP="000867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1E2D3B" w:rsidRPr="00771C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4±1.04</w:t>
            </w:r>
          </w:p>
          <w:p w14:paraId="0B4CCEBD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1CA3EAE6" w14:textId="77777777" w:rsidR="00931C9D" w:rsidRPr="00771C9B" w:rsidRDefault="00931C9D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9.5±0.87</w:t>
            </w:r>
          </w:p>
          <w:p w14:paraId="577742E9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D6" w:rsidRPr="00771C9B" w14:paraId="2FF91B7C" w14:textId="77777777" w:rsidTr="000640FC">
        <w:tc>
          <w:tcPr>
            <w:tcW w:w="1610" w:type="dxa"/>
          </w:tcPr>
          <w:p w14:paraId="07EE983C" w14:textId="77777777" w:rsidR="0056108F" w:rsidRPr="00771C9B" w:rsidRDefault="0056108F" w:rsidP="00086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Asymbiotic Nitrogen Fixing bacteria</w:t>
            </w:r>
          </w:p>
        </w:tc>
        <w:tc>
          <w:tcPr>
            <w:tcW w:w="1217" w:type="dxa"/>
          </w:tcPr>
          <w:p w14:paraId="6752D7F6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18.67±4.8</w:t>
            </w:r>
          </w:p>
          <w:p w14:paraId="7033F1F9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3D6D618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33±6.51</w:t>
            </w:r>
          </w:p>
          <w:p w14:paraId="33E01B47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783545A" w14:textId="77777777" w:rsidR="00492FB4" w:rsidRPr="00771C9B" w:rsidRDefault="00492FB4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20.33±1.48</w:t>
            </w:r>
          </w:p>
          <w:p w14:paraId="4447C734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0B1ECD0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26.5±5.48</w:t>
            </w:r>
          </w:p>
          <w:p w14:paraId="14D68FA7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651B3F7" w14:textId="77777777" w:rsidR="001E2D3B" w:rsidRPr="00771C9B" w:rsidRDefault="005D7A1C" w:rsidP="000867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="001E2D3B" w:rsidRPr="00771C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7.17±6.33</w:t>
            </w:r>
          </w:p>
          <w:p w14:paraId="0771CA59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336C73FA" w14:textId="77777777" w:rsidR="00492FB4" w:rsidRPr="00771C9B" w:rsidRDefault="00492FB4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18.5±2.75</w:t>
            </w:r>
          </w:p>
          <w:p w14:paraId="62AA07C6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D6" w:rsidRPr="00771C9B" w14:paraId="53523F1C" w14:textId="77777777" w:rsidTr="000640FC">
        <w:tc>
          <w:tcPr>
            <w:tcW w:w="1610" w:type="dxa"/>
          </w:tcPr>
          <w:p w14:paraId="02A034C0" w14:textId="77777777" w:rsidR="0056108F" w:rsidRPr="00771C9B" w:rsidRDefault="0056108F" w:rsidP="00086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Starch hydrolysing bacteria</w:t>
            </w:r>
          </w:p>
        </w:tc>
        <w:tc>
          <w:tcPr>
            <w:tcW w:w="1217" w:type="dxa"/>
          </w:tcPr>
          <w:p w14:paraId="57144EEA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7.5±.76</w:t>
            </w:r>
          </w:p>
          <w:p w14:paraId="41244472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762A74D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9.33±1.33</w:t>
            </w:r>
          </w:p>
          <w:p w14:paraId="0EB8FF4E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6A270E01" w14:textId="77777777" w:rsidR="00492FB4" w:rsidRPr="00771C9B" w:rsidRDefault="00492FB4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10.17±1.96</w:t>
            </w:r>
          </w:p>
          <w:p w14:paraId="77511ED1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7E182BB0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5.67±.33</w:t>
            </w:r>
          </w:p>
          <w:p w14:paraId="0050F135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3C4231E1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7.33±0.88</w:t>
            </w:r>
          </w:p>
          <w:p w14:paraId="52806459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29689DE" w14:textId="77777777" w:rsidR="00492FB4" w:rsidRPr="00771C9B" w:rsidRDefault="00492FB4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8.17±0.93</w:t>
            </w:r>
          </w:p>
          <w:p w14:paraId="0433D3D5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D6" w:rsidRPr="00771C9B" w14:paraId="70A2DE74" w14:textId="77777777" w:rsidTr="000640FC">
        <w:tc>
          <w:tcPr>
            <w:tcW w:w="1610" w:type="dxa"/>
          </w:tcPr>
          <w:p w14:paraId="154BFFDF" w14:textId="77777777" w:rsidR="0056108F" w:rsidRPr="00771C9B" w:rsidRDefault="0056108F" w:rsidP="00086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Protein hydrolysing bacteria</w:t>
            </w:r>
          </w:p>
        </w:tc>
        <w:tc>
          <w:tcPr>
            <w:tcW w:w="1217" w:type="dxa"/>
          </w:tcPr>
          <w:p w14:paraId="1FA3DAAA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6.83±0.44</w:t>
            </w:r>
          </w:p>
          <w:p w14:paraId="6C087EA0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1CEEBC49" w14:textId="30861B0E" w:rsidR="001E2D3B" w:rsidRPr="00771C9B" w:rsidRDefault="00872B3D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E2D3B"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.67±2.52</w:t>
            </w:r>
          </w:p>
          <w:p w14:paraId="0DB9EF40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11C1C9A" w14:textId="77777777" w:rsidR="00492FB4" w:rsidRPr="00771C9B" w:rsidRDefault="00492FB4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3.33±0.33</w:t>
            </w:r>
          </w:p>
          <w:p w14:paraId="1E821C2F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0080018F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3.67±0.33</w:t>
            </w:r>
          </w:p>
          <w:p w14:paraId="49C86D31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</w:tcPr>
          <w:p w14:paraId="2911CB04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7.83±1.59</w:t>
            </w:r>
          </w:p>
          <w:p w14:paraId="2AA63212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7" w:type="dxa"/>
          </w:tcPr>
          <w:p w14:paraId="44DB994E" w14:textId="77777777" w:rsidR="00492FB4" w:rsidRPr="00771C9B" w:rsidRDefault="00492FB4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3±0.58</w:t>
            </w:r>
          </w:p>
          <w:p w14:paraId="37952B17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7D6" w:rsidRPr="00771C9B" w14:paraId="02229D9F" w14:textId="77777777" w:rsidTr="000640FC">
        <w:tc>
          <w:tcPr>
            <w:tcW w:w="1610" w:type="dxa"/>
            <w:tcBorders>
              <w:bottom w:val="single" w:sz="4" w:space="0" w:color="auto"/>
            </w:tcBorders>
          </w:tcPr>
          <w:p w14:paraId="333D04D3" w14:textId="77777777" w:rsidR="0056108F" w:rsidRPr="00771C9B" w:rsidRDefault="0056108F" w:rsidP="00086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Fat solubilising bacteria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46EECFB8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17.83±0.33</w:t>
            </w:r>
          </w:p>
          <w:p w14:paraId="52A3A11B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6A686BC9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39.75±1.93</w:t>
            </w:r>
          </w:p>
          <w:p w14:paraId="42FBFC33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580705DF" w14:textId="77777777" w:rsidR="00492FB4" w:rsidRPr="00771C9B" w:rsidRDefault="00492FB4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40.83±3.00</w:t>
            </w:r>
          </w:p>
          <w:p w14:paraId="20791195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5FA4453D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15.83±1.09</w:t>
            </w:r>
          </w:p>
          <w:p w14:paraId="3C011345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104D1D4E" w14:textId="77777777" w:rsidR="001E2D3B" w:rsidRPr="00771C9B" w:rsidRDefault="001E2D3B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31.63±1.63</w:t>
            </w:r>
          </w:p>
          <w:p w14:paraId="7969E7A3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6EE86228" w14:textId="77777777" w:rsidR="00492FB4" w:rsidRPr="00771C9B" w:rsidRDefault="00492FB4" w:rsidP="000867D6">
            <w:pPr>
              <w:spacing w:line="48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33.83±4.59</w:t>
            </w:r>
          </w:p>
          <w:p w14:paraId="640A81CE" w14:textId="77777777" w:rsidR="0056108F" w:rsidRPr="00771C9B" w:rsidRDefault="0056108F" w:rsidP="000867D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0591D1" w14:textId="77777777" w:rsidR="0056108F" w:rsidRPr="00771C9B" w:rsidRDefault="0056108F">
      <w:pPr>
        <w:rPr>
          <w:rFonts w:ascii="Times New Roman" w:hAnsi="Times New Roman" w:cs="Times New Roman"/>
          <w:sz w:val="20"/>
          <w:szCs w:val="20"/>
        </w:rPr>
      </w:pPr>
    </w:p>
    <w:p w14:paraId="41B7A31E" w14:textId="77777777" w:rsidR="005D50D9" w:rsidRPr="00771C9B" w:rsidRDefault="005D50D9">
      <w:pPr>
        <w:rPr>
          <w:rFonts w:ascii="Times New Roman" w:hAnsi="Times New Roman" w:cs="Times New Roman"/>
          <w:sz w:val="20"/>
          <w:szCs w:val="20"/>
        </w:rPr>
      </w:pPr>
    </w:p>
    <w:p w14:paraId="3CF99C77" w14:textId="77777777" w:rsidR="005D50D9" w:rsidRPr="00771C9B" w:rsidRDefault="005D50D9">
      <w:pPr>
        <w:rPr>
          <w:rFonts w:ascii="Times New Roman" w:hAnsi="Times New Roman" w:cs="Times New Roman"/>
          <w:sz w:val="20"/>
          <w:szCs w:val="20"/>
        </w:rPr>
      </w:pPr>
    </w:p>
    <w:p w14:paraId="4EF46556" w14:textId="77777777" w:rsidR="005D50D9" w:rsidRPr="00771C9B" w:rsidRDefault="005D50D9">
      <w:pPr>
        <w:rPr>
          <w:rFonts w:ascii="Times New Roman" w:hAnsi="Times New Roman" w:cs="Times New Roman"/>
          <w:sz w:val="20"/>
          <w:szCs w:val="20"/>
        </w:rPr>
      </w:pPr>
    </w:p>
    <w:p w14:paraId="10E0617F" w14:textId="77777777" w:rsidR="005D50D9" w:rsidRPr="00771C9B" w:rsidRDefault="005D50D9">
      <w:pPr>
        <w:rPr>
          <w:rFonts w:ascii="Times New Roman" w:hAnsi="Times New Roman" w:cs="Times New Roman"/>
          <w:sz w:val="20"/>
          <w:szCs w:val="20"/>
        </w:rPr>
      </w:pPr>
    </w:p>
    <w:p w14:paraId="0B090308" w14:textId="77777777" w:rsidR="00B34F51" w:rsidRPr="00771C9B" w:rsidRDefault="00B34F51">
      <w:pPr>
        <w:rPr>
          <w:rFonts w:ascii="Times New Roman" w:hAnsi="Times New Roman" w:cs="Times New Roman"/>
          <w:sz w:val="20"/>
          <w:szCs w:val="20"/>
        </w:rPr>
      </w:pPr>
    </w:p>
    <w:p w14:paraId="73C5FEBA" w14:textId="6F34F3D1" w:rsidR="00B34F51" w:rsidRDefault="00B34F51">
      <w:pPr>
        <w:rPr>
          <w:rFonts w:ascii="Times New Roman" w:hAnsi="Times New Roman" w:cs="Times New Roman"/>
          <w:sz w:val="20"/>
          <w:szCs w:val="20"/>
        </w:rPr>
      </w:pPr>
    </w:p>
    <w:p w14:paraId="5D7A99E0" w14:textId="436E1771" w:rsidR="00771C9B" w:rsidRDefault="00771C9B">
      <w:pPr>
        <w:rPr>
          <w:rFonts w:ascii="Times New Roman" w:hAnsi="Times New Roman" w:cs="Times New Roman"/>
          <w:sz w:val="20"/>
          <w:szCs w:val="20"/>
        </w:rPr>
      </w:pPr>
    </w:p>
    <w:p w14:paraId="7186278F" w14:textId="77777777" w:rsidR="00771C9B" w:rsidRPr="00771C9B" w:rsidRDefault="00771C9B">
      <w:pPr>
        <w:rPr>
          <w:rFonts w:ascii="Times New Roman" w:hAnsi="Times New Roman" w:cs="Times New Roman"/>
          <w:sz w:val="20"/>
          <w:szCs w:val="20"/>
        </w:rPr>
      </w:pPr>
    </w:p>
    <w:p w14:paraId="0DCA27F3" w14:textId="04E0F8C3" w:rsidR="005D50D9" w:rsidRPr="00771C9B" w:rsidRDefault="00B34F51" w:rsidP="000A31F3">
      <w:pPr>
        <w:jc w:val="both"/>
        <w:rPr>
          <w:rFonts w:ascii="Times New Roman" w:hAnsi="Times New Roman" w:cs="Times New Roman"/>
          <w:sz w:val="20"/>
          <w:szCs w:val="20"/>
        </w:rPr>
      </w:pPr>
      <w:r w:rsidRPr="00771C9B">
        <w:rPr>
          <w:rFonts w:ascii="Times New Roman" w:hAnsi="Times New Roman" w:cs="Times New Roman"/>
          <w:sz w:val="20"/>
          <w:szCs w:val="20"/>
        </w:rPr>
        <w:lastRenderedPageBreak/>
        <w:t>Table 2: Physico-chemical factors of soil under organic and chemical treatments</w:t>
      </w:r>
      <w:r w:rsidR="00895154">
        <w:rPr>
          <w:rFonts w:ascii="Times New Roman" w:hAnsi="Times New Roman" w:cs="Times New Roman"/>
          <w:sz w:val="20"/>
          <w:szCs w:val="20"/>
        </w:rPr>
        <w:t>, value ± S.E.</w:t>
      </w:r>
      <w:bookmarkStart w:id="0" w:name="_GoBack"/>
      <w:bookmarkEnd w:id="0"/>
    </w:p>
    <w:tbl>
      <w:tblPr>
        <w:tblStyle w:val="TableGrid"/>
        <w:tblW w:w="10453" w:type="dxa"/>
        <w:tblInd w:w="-601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676"/>
        <w:gridCol w:w="832"/>
        <w:gridCol w:w="676"/>
        <w:gridCol w:w="694"/>
        <w:gridCol w:w="961"/>
        <w:gridCol w:w="983"/>
        <w:gridCol w:w="950"/>
        <w:gridCol w:w="983"/>
        <w:gridCol w:w="927"/>
        <w:gridCol w:w="839"/>
        <w:gridCol w:w="816"/>
      </w:tblGrid>
      <w:tr w:rsidR="00ED210E" w:rsidRPr="00771C9B" w14:paraId="423F27FC" w14:textId="77777777" w:rsidTr="005F57FF">
        <w:trPr>
          <w:trHeight w:val="101"/>
        </w:trPr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1F6B4ADA" w14:textId="77777777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Treatments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236229" w14:textId="77777777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79BE59" w14:textId="4BC82D30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</w:t>
            </w:r>
            <w:r w:rsidR="00ED210E"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(µS)</w:t>
            </w: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</w:tcPr>
          <w:p w14:paraId="6EFD26D0" w14:textId="77B73DBB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T(</w:t>
            </w: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o</w:t>
            </w: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14:paraId="125C16D4" w14:textId="47C78511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M(%)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83520" w14:textId="260B161D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OrgC(%)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6AC978" w14:textId="678E518F" w:rsidR="00B275FF" w:rsidRPr="00771C9B" w:rsidRDefault="00B275FF" w:rsidP="006D3EE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N(Kg/ha)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FC6F4" w14:textId="71AA5619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P(Kg/ha)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40479E" w14:textId="2A5305BA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K(Kg/ha)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87575" w14:textId="7E86183A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Zn(ppm)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8EC31F" w14:textId="4E12B81A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B(ppm)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E07040" w14:textId="2CAF7664" w:rsidR="00B275FF" w:rsidRPr="00771C9B" w:rsidRDefault="00B275FF" w:rsidP="000A31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S(ppm)</w:t>
            </w:r>
          </w:p>
        </w:tc>
      </w:tr>
      <w:tr w:rsidR="00ED210E" w:rsidRPr="00771C9B" w14:paraId="15F4412D" w14:textId="77777777" w:rsidTr="005F57FF">
        <w:trPr>
          <w:trHeight w:val="75"/>
        </w:trPr>
        <w:tc>
          <w:tcPr>
            <w:tcW w:w="1116" w:type="dxa"/>
            <w:tcBorders>
              <w:top w:val="single" w:sz="4" w:space="0" w:color="auto"/>
            </w:tcBorders>
          </w:tcPr>
          <w:p w14:paraId="0BEDB522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394A90E0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5.87</w:t>
            </w:r>
          </w:p>
          <w:p w14:paraId="7CA4ABB3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±0.07</w:t>
            </w:r>
          </w:p>
          <w:p w14:paraId="545BF96C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677C86C3" w14:textId="77777777" w:rsidR="00B275FF" w:rsidRPr="00771C9B" w:rsidRDefault="00B27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0.078</w:t>
            </w:r>
          </w:p>
          <w:p w14:paraId="2F4AE193" w14:textId="77777777" w:rsidR="00B275FF" w:rsidRPr="00771C9B" w:rsidRDefault="00B275F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±0.005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69E4C2EB" w14:textId="2F88DEEB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29.8± 1.49</w:t>
            </w:r>
          </w:p>
        </w:tc>
        <w:tc>
          <w:tcPr>
            <w:tcW w:w="694" w:type="dxa"/>
            <w:tcBorders>
              <w:top w:val="single" w:sz="4" w:space="0" w:color="auto"/>
            </w:tcBorders>
          </w:tcPr>
          <w:p w14:paraId="63C25B88" w14:textId="54D6B395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10-20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14:paraId="66BC8C1B" w14:textId="71E470A5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  <w:p w14:paraId="6A57E17D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  <w:p w14:paraId="48727803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6A72F1BD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155.4</w:t>
            </w:r>
          </w:p>
          <w:p w14:paraId="56B0DA04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±0.68</w:t>
            </w:r>
          </w:p>
          <w:p w14:paraId="59A8BD0B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14:paraId="396936EC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257.4</w:t>
            </w:r>
          </w:p>
          <w:p w14:paraId="146CD31B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±0.68</w:t>
            </w:r>
          </w:p>
          <w:p w14:paraId="2DEB5E58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14:paraId="398F1DE7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609.6</w:t>
            </w:r>
          </w:p>
          <w:p w14:paraId="427AE8C8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±0.51</w:t>
            </w:r>
          </w:p>
          <w:p w14:paraId="00410D89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5AB1022E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2.40</w:t>
            </w:r>
          </w:p>
          <w:p w14:paraId="53AD8E81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  <w:p w14:paraId="4440D363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05FA65B8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0.574</w:t>
            </w:r>
          </w:p>
          <w:p w14:paraId="721CF4C5" w14:textId="686ADEBC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  <w:p w14:paraId="5BE71ADB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4BFE35F9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18.01±</w:t>
            </w:r>
          </w:p>
          <w:p w14:paraId="7269794E" w14:textId="77777777" w:rsidR="00B275FF" w:rsidRPr="00771C9B" w:rsidRDefault="00B275FF" w:rsidP="005D50D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  <w:p w14:paraId="535F9C19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10E" w:rsidRPr="00771C9B" w14:paraId="7A618F7A" w14:textId="77777777" w:rsidTr="005F57FF">
        <w:trPr>
          <w:trHeight w:val="47"/>
        </w:trPr>
        <w:tc>
          <w:tcPr>
            <w:tcW w:w="1116" w:type="dxa"/>
          </w:tcPr>
          <w:p w14:paraId="567529DF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Organic</w:t>
            </w:r>
          </w:p>
        </w:tc>
        <w:tc>
          <w:tcPr>
            <w:tcW w:w="676" w:type="dxa"/>
          </w:tcPr>
          <w:p w14:paraId="67D437A3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7.12</w:t>
            </w:r>
          </w:p>
          <w:p w14:paraId="53674A12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±0.03</w:t>
            </w:r>
          </w:p>
          <w:p w14:paraId="3C9176EC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338C022B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  <w:p w14:paraId="1D3BFB92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  <w:p w14:paraId="212EE29D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653D845D" w14:textId="72F0A361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28.6± 1.82</w:t>
            </w:r>
          </w:p>
        </w:tc>
        <w:tc>
          <w:tcPr>
            <w:tcW w:w="694" w:type="dxa"/>
          </w:tcPr>
          <w:p w14:paraId="1CCF8C3F" w14:textId="22FFD13D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35-40</w:t>
            </w:r>
          </w:p>
        </w:tc>
        <w:tc>
          <w:tcPr>
            <w:tcW w:w="961" w:type="dxa"/>
          </w:tcPr>
          <w:p w14:paraId="1EB85AF5" w14:textId="323E5855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0.96</w:t>
            </w:r>
          </w:p>
          <w:p w14:paraId="21862C24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  <w:p w14:paraId="33583154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59692B98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  <w:p w14:paraId="32BA5C62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±0.55</w:t>
            </w:r>
          </w:p>
          <w:p w14:paraId="3276E03D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14:paraId="15854653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227.8</w:t>
            </w:r>
          </w:p>
          <w:p w14:paraId="34E7A08A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±0.66</w:t>
            </w:r>
          </w:p>
          <w:p w14:paraId="3506A56D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5B051186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  <w:p w14:paraId="6C7E3418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±0.71</w:t>
            </w:r>
          </w:p>
          <w:p w14:paraId="40A16492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14:paraId="0A9C0597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</w:t>
            </w:r>
          </w:p>
          <w:p w14:paraId="1E8F2F73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  <w:p w14:paraId="761C0E17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D5574DA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  <w:p w14:paraId="4270A9A2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  <w:p w14:paraId="77288EE7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69FF3910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16.41</w:t>
            </w:r>
          </w:p>
          <w:p w14:paraId="7F3D1278" w14:textId="77777777" w:rsidR="00B275FF" w:rsidRPr="00771C9B" w:rsidRDefault="00B275FF" w:rsidP="008E0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  <w:p w14:paraId="64FA88DE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10E" w:rsidRPr="00771C9B" w14:paraId="38B8389C" w14:textId="77777777" w:rsidTr="005F57FF">
        <w:trPr>
          <w:trHeight w:val="25"/>
        </w:trPr>
        <w:tc>
          <w:tcPr>
            <w:tcW w:w="1116" w:type="dxa"/>
          </w:tcPr>
          <w:p w14:paraId="0BCA2B91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Chemical</w:t>
            </w:r>
          </w:p>
        </w:tc>
        <w:tc>
          <w:tcPr>
            <w:tcW w:w="676" w:type="dxa"/>
          </w:tcPr>
          <w:p w14:paraId="65F6110C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5.80</w:t>
            </w:r>
          </w:p>
          <w:p w14:paraId="2BF8DC1E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  <w:p w14:paraId="05212DD0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14:paraId="64E73FE7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  <w:p w14:paraId="168B7BBA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±0.01</w:t>
            </w:r>
          </w:p>
          <w:p w14:paraId="00165D40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" w:type="dxa"/>
          </w:tcPr>
          <w:p w14:paraId="5170B50E" w14:textId="1D2C15B2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31.7± 0.85</w:t>
            </w:r>
          </w:p>
        </w:tc>
        <w:tc>
          <w:tcPr>
            <w:tcW w:w="694" w:type="dxa"/>
          </w:tcPr>
          <w:p w14:paraId="0D5DCCF4" w14:textId="50433206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15-30</w:t>
            </w:r>
          </w:p>
        </w:tc>
        <w:tc>
          <w:tcPr>
            <w:tcW w:w="961" w:type="dxa"/>
          </w:tcPr>
          <w:p w14:paraId="75040915" w14:textId="61441EC8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  <w:p w14:paraId="36DD6A9C" w14:textId="1526FB52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±0.02</w:t>
            </w:r>
          </w:p>
          <w:p w14:paraId="674FAD39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76B559A4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171.2</w:t>
            </w:r>
          </w:p>
          <w:p w14:paraId="263CE509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±0.37</w:t>
            </w:r>
          </w:p>
          <w:p w14:paraId="092B58DF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</w:tcPr>
          <w:p w14:paraId="5EFD2B3E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237.4</w:t>
            </w:r>
          </w:p>
          <w:p w14:paraId="3170C743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±0.68</w:t>
            </w:r>
          </w:p>
          <w:p w14:paraId="4E9911BB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14:paraId="614A1C35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551.2</w:t>
            </w:r>
          </w:p>
          <w:p w14:paraId="7328FEF5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±0.37</w:t>
            </w:r>
          </w:p>
          <w:p w14:paraId="06C9F7D1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14:paraId="0D34B551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3.058</w:t>
            </w:r>
          </w:p>
          <w:p w14:paraId="3A1C943B" w14:textId="2C5114B2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</w:t>
            </w:r>
            <w:r w:rsidR="009F302C"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14:paraId="756F70ED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F4C179A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0.634±</w:t>
            </w:r>
          </w:p>
          <w:p w14:paraId="3532512D" w14:textId="2C3A486C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</w:t>
            </w:r>
            <w:r w:rsidR="00EF3AEB"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66610A34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14:paraId="33D16B72" w14:textId="77777777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19.68</w:t>
            </w:r>
          </w:p>
          <w:p w14:paraId="0413C63D" w14:textId="39615FAA" w:rsidR="00B275FF" w:rsidRPr="00771C9B" w:rsidRDefault="00B275FF" w:rsidP="001A0F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±0.0</w:t>
            </w:r>
            <w:r w:rsidR="00EF3AEB" w:rsidRPr="00771C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14:paraId="05A8D320" w14:textId="77777777" w:rsidR="00B275FF" w:rsidRPr="00771C9B" w:rsidRDefault="00B275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60852D" w14:textId="77777777" w:rsidR="005D50D9" w:rsidRPr="00771C9B" w:rsidRDefault="005D50D9">
      <w:pPr>
        <w:rPr>
          <w:rFonts w:ascii="Times New Roman" w:hAnsi="Times New Roman" w:cs="Times New Roman"/>
          <w:sz w:val="20"/>
          <w:szCs w:val="20"/>
        </w:rPr>
      </w:pPr>
    </w:p>
    <w:p w14:paraId="27E1D449" w14:textId="687C72AD" w:rsidR="00C07216" w:rsidRPr="00771C9B" w:rsidRDefault="007D2362">
      <w:pPr>
        <w:rPr>
          <w:rFonts w:ascii="Times New Roman" w:hAnsi="Times New Roman" w:cs="Times New Roman"/>
          <w:sz w:val="20"/>
          <w:szCs w:val="20"/>
        </w:rPr>
      </w:pPr>
      <w:r w:rsidRPr="00771C9B">
        <w:rPr>
          <w:rFonts w:ascii="Times New Roman" w:hAnsi="Times New Roman" w:cs="Times New Roman"/>
          <w:sz w:val="20"/>
          <w:szCs w:val="20"/>
        </w:rPr>
        <w:t xml:space="preserve">Table 3: The </w:t>
      </w:r>
      <w:r w:rsidR="007D5581" w:rsidRPr="00771C9B">
        <w:rPr>
          <w:rFonts w:ascii="Times New Roman" w:hAnsi="Times New Roman" w:cs="Times New Roman"/>
          <w:sz w:val="20"/>
          <w:szCs w:val="20"/>
        </w:rPr>
        <w:t>NPK (average) of vermic</w:t>
      </w:r>
      <w:r w:rsidRPr="00771C9B">
        <w:rPr>
          <w:rFonts w:ascii="Times New Roman" w:hAnsi="Times New Roman" w:cs="Times New Roman"/>
          <w:sz w:val="20"/>
          <w:szCs w:val="20"/>
        </w:rPr>
        <w:t xml:space="preserve">ompost and </w:t>
      </w:r>
      <w:r w:rsidR="000015CC" w:rsidRPr="00771C9B">
        <w:rPr>
          <w:rFonts w:ascii="Times New Roman" w:hAnsi="Times New Roman" w:cs="Times New Roman"/>
          <w:sz w:val="20"/>
          <w:szCs w:val="20"/>
        </w:rPr>
        <w:t>cow dung</w:t>
      </w:r>
      <w:r w:rsidRPr="00771C9B">
        <w:rPr>
          <w:rFonts w:ascii="Times New Roman" w:hAnsi="Times New Roman" w:cs="Times New Roman"/>
          <w:sz w:val="20"/>
          <w:szCs w:val="20"/>
        </w:rPr>
        <w:t xml:space="preserve"> manures applied to maize fields</w:t>
      </w:r>
      <w:r w:rsidR="00BE4E39" w:rsidRPr="00771C9B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7735BA" w:rsidRPr="00771C9B" w14:paraId="60AC62D6" w14:textId="77777777" w:rsidTr="00BB5964"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1D99AC32" w14:textId="77777777" w:rsidR="007735BA" w:rsidRPr="00771C9B" w:rsidRDefault="00773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Manure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2B6FAC11" w14:textId="77777777" w:rsidR="007735BA" w:rsidRPr="00771C9B" w:rsidRDefault="00773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Nitrogen (%)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7628E0F6" w14:textId="77777777" w:rsidR="007735BA" w:rsidRPr="00771C9B" w:rsidRDefault="00773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Phosphorus (%)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14:paraId="194B46F0" w14:textId="77777777" w:rsidR="007735BA" w:rsidRPr="00771C9B" w:rsidRDefault="00773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Pottassium (%)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14:paraId="77ED2B8B" w14:textId="77777777" w:rsidR="007735BA" w:rsidRPr="00771C9B" w:rsidRDefault="007735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b/>
                <w:sz w:val="20"/>
                <w:szCs w:val="20"/>
              </w:rPr>
              <w:t>C:N ratio</w:t>
            </w:r>
          </w:p>
        </w:tc>
      </w:tr>
      <w:tr w:rsidR="007735BA" w:rsidRPr="00771C9B" w14:paraId="4C80D1AD" w14:textId="77777777" w:rsidTr="00BB5964">
        <w:tc>
          <w:tcPr>
            <w:tcW w:w="1848" w:type="dxa"/>
            <w:tcBorders>
              <w:top w:val="single" w:sz="4" w:space="0" w:color="auto"/>
            </w:tcBorders>
          </w:tcPr>
          <w:p w14:paraId="5058A8F2" w14:textId="77777777" w:rsidR="007735BA" w:rsidRPr="00771C9B" w:rsidRDefault="0077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Vermicompost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745639C2" w14:textId="77777777" w:rsidR="007735BA" w:rsidRPr="00771C9B" w:rsidRDefault="0077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14:paraId="2AF2AC42" w14:textId="77777777" w:rsidR="007735BA" w:rsidRPr="00771C9B" w:rsidRDefault="0077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3AC71F4B" w14:textId="77777777" w:rsidR="007735BA" w:rsidRPr="00771C9B" w:rsidRDefault="0077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849" w:type="dxa"/>
            <w:tcBorders>
              <w:top w:val="single" w:sz="4" w:space="0" w:color="auto"/>
            </w:tcBorders>
          </w:tcPr>
          <w:p w14:paraId="04084662" w14:textId="77777777" w:rsidR="007735BA" w:rsidRPr="00771C9B" w:rsidRDefault="0077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</w:tr>
      <w:tr w:rsidR="007735BA" w:rsidRPr="00771C9B" w14:paraId="3651B46F" w14:textId="77777777" w:rsidTr="00BB5964">
        <w:tc>
          <w:tcPr>
            <w:tcW w:w="1848" w:type="dxa"/>
            <w:tcBorders>
              <w:bottom w:val="single" w:sz="4" w:space="0" w:color="auto"/>
            </w:tcBorders>
          </w:tcPr>
          <w:p w14:paraId="04F8BCE8" w14:textId="5F05F4E9" w:rsidR="007735BA" w:rsidRPr="00771C9B" w:rsidRDefault="0077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Cow</w:t>
            </w:r>
            <w:r w:rsidR="000015CC" w:rsidRPr="00771C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dung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573C8B4" w14:textId="77777777" w:rsidR="007735BA" w:rsidRPr="00771C9B" w:rsidRDefault="0077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55E7729D" w14:textId="77777777" w:rsidR="007735BA" w:rsidRPr="00771C9B" w:rsidRDefault="0077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2B24C6FB" w14:textId="77777777" w:rsidR="007735BA" w:rsidRPr="00771C9B" w:rsidRDefault="007735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3CF24BC6" w14:textId="4ED0E790" w:rsidR="007735BA" w:rsidRPr="00771C9B" w:rsidRDefault="007D2D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C9B">
              <w:rPr>
                <w:rFonts w:ascii="Times New Roman" w:hAnsi="Times New Roman" w:cs="Times New Roman"/>
                <w:sz w:val="20"/>
                <w:szCs w:val="20"/>
              </w:rPr>
              <w:t>50.24</w:t>
            </w:r>
          </w:p>
        </w:tc>
      </w:tr>
    </w:tbl>
    <w:p w14:paraId="1A525063" w14:textId="4ED3FB09" w:rsidR="00C07216" w:rsidRPr="00771C9B" w:rsidRDefault="00C07216">
      <w:pPr>
        <w:rPr>
          <w:rFonts w:ascii="Times New Roman" w:hAnsi="Times New Roman" w:cs="Times New Roman"/>
          <w:sz w:val="20"/>
          <w:szCs w:val="20"/>
        </w:rPr>
      </w:pPr>
    </w:p>
    <w:p w14:paraId="62E2AF51" w14:textId="77777777" w:rsidR="00C07216" w:rsidRPr="00771C9B" w:rsidRDefault="00C07216">
      <w:pPr>
        <w:rPr>
          <w:rFonts w:ascii="Times New Roman" w:hAnsi="Times New Roman" w:cs="Times New Roman"/>
          <w:sz w:val="20"/>
          <w:szCs w:val="20"/>
        </w:rPr>
      </w:pPr>
    </w:p>
    <w:p w14:paraId="4A428843" w14:textId="77777777" w:rsidR="00C65638" w:rsidRPr="00771C9B" w:rsidRDefault="00C65638">
      <w:pPr>
        <w:rPr>
          <w:rFonts w:ascii="Times New Roman" w:hAnsi="Times New Roman" w:cs="Times New Roman"/>
          <w:sz w:val="20"/>
          <w:szCs w:val="20"/>
        </w:rPr>
      </w:pPr>
    </w:p>
    <w:sectPr w:rsidR="00C65638" w:rsidRPr="00771C9B" w:rsidSect="00F97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441"/>
    <w:rsid w:val="000015CC"/>
    <w:rsid w:val="000640FC"/>
    <w:rsid w:val="00081418"/>
    <w:rsid w:val="000867D6"/>
    <w:rsid w:val="000A0B38"/>
    <w:rsid w:val="000A31F3"/>
    <w:rsid w:val="00110E72"/>
    <w:rsid w:val="001A0F38"/>
    <w:rsid w:val="001E2D3B"/>
    <w:rsid w:val="001F7744"/>
    <w:rsid w:val="00275901"/>
    <w:rsid w:val="002A5B41"/>
    <w:rsid w:val="002C733E"/>
    <w:rsid w:val="00391441"/>
    <w:rsid w:val="003C741E"/>
    <w:rsid w:val="003F294A"/>
    <w:rsid w:val="0042000C"/>
    <w:rsid w:val="00492FB4"/>
    <w:rsid w:val="004A0071"/>
    <w:rsid w:val="005279D0"/>
    <w:rsid w:val="00560DB7"/>
    <w:rsid w:val="0056108F"/>
    <w:rsid w:val="005D50D9"/>
    <w:rsid w:val="005D7A1C"/>
    <w:rsid w:val="005F57FF"/>
    <w:rsid w:val="00645492"/>
    <w:rsid w:val="0065722A"/>
    <w:rsid w:val="00681919"/>
    <w:rsid w:val="006B181B"/>
    <w:rsid w:val="006C18ED"/>
    <w:rsid w:val="006D3EEF"/>
    <w:rsid w:val="00757BD6"/>
    <w:rsid w:val="00771C9B"/>
    <w:rsid w:val="007735BA"/>
    <w:rsid w:val="007D2362"/>
    <w:rsid w:val="007D2D29"/>
    <w:rsid w:val="007D5581"/>
    <w:rsid w:val="00846754"/>
    <w:rsid w:val="00872B3D"/>
    <w:rsid w:val="00895154"/>
    <w:rsid w:val="008E0644"/>
    <w:rsid w:val="00931C9D"/>
    <w:rsid w:val="009F302C"/>
    <w:rsid w:val="009F6F3F"/>
    <w:rsid w:val="00B004D7"/>
    <w:rsid w:val="00B275FF"/>
    <w:rsid w:val="00B34CF3"/>
    <w:rsid w:val="00B34F51"/>
    <w:rsid w:val="00BB5964"/>
    <w:rsid w:val="00BE4E39"/>
    <w:rsid w:val="00C02631"/>
    <w:rsid w:val="00C07216"/>
    <w:rsid w:val="00C65638"/>
    <w:rsid w:val="00CC2E78"/>
    <w:rsid w:val="00CC36D5"/>
    <w:rsid w:val="00D929A1"/>
    <w:rsid w:val="00ED210E"/>
    <w:rsid w:val="00EF3AEB"/>
    <w:rsid w:val="00F915FA"/>
    <w:rsid w:val="00F97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9862C"/>
  <w15:docId w15:val="{17BECB3F-63DC-4451-99F0-DF32BED8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14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Sudipto</cp:lastModifiedBy>
  <cp:revision>23</cp:revision>
  <dcterms:created xsi:type="dcterms:W3CDTF">2018-10-05T02:36:00Z</dcterms:created>
  <dcterms:modified xsi:type="dcterms:W3CDTF">2019-06-19T15:15:00Z</dcterms:modified>
</cp:coreProperties>
</file>